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7"/>
        </w:rPr>
      </w:pPr>
      <w:r>
        <w:rPr/>
        <w:pict>
          <v:rect style="position:absolute;margin-left:447pt;margin-top:78.240005pt;width:170.04pt;height:22.08pt;mso-position-horizontal-relative:page;mso-position-vertical-relative:page;z-index:-15915520" id="docshape3" filled="true" fillcolor="#c5d9f0" stroked="false">
            <v:fill type="solid"/>
            <w10:wrap type="none"/>
          </v:rect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3307"/>
        <w:gridCol w:w="3261"/>
        <w:gridCol w:w="3542"/>
        <w:gridCol w:w="3638"/>
      </w:tblGrid>
      <w:tr>
        <w:trPr>
          <w:trHeight w:val="441" w:hRule="atLeast"/>
        </w:trPr>
        <w:tc>
          <w:tcPr>
            <w:tcW w:w="1148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8553" w:val="left" w:leader="none"/>
              </w:tabs>
              <w:spacing w:before="112"/>
              <w:ind w:left="902"/>
              <w:jc w:val="left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Offered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Semesters</w:t>
              <w:tab/>
              <w:t>Unit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shared between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majors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0" w:lineRule="atLeast"/>
              <w:ind w:left="1105" w:right="468" w:hanging="608"/>
              <w:jc w:val="left"/>
              <w:rPr>
                <w:sz w:val="18"/>
              </w:rPr>
            </w:pPr>
            <w:r>
              <w:rPr>
                <w:sz w:val="18"/>
              </w:rPr>
              <w:t>BSc component of combined degree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(minimum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 units)</w:t>
            </w:r>
          </w:p>
        </w:tc>
      </w:tr>
      <w:tr>
        <w:trPr>
          <w:trHeight w:val="849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before="1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30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42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35" w:right="426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8" w:type="dxa"/>
            <w:shd w:val="clear" w:color="auto" w:fill="C5D9F0"/>
          </w:tcPr>
          <w:p>
            <w:pPr>
              <w:pStyle w:val="TableParagraph"/>
              <w:spacing w:before="56"/>
              <w:ind w:left="311" w:right="301"/>
              <w:rPr>
                <w:b/>
                <w:sz w:val="22"/>
              </w:rPr>
            </w:pPr>
            <w:r>
              <w:rPr>
                <w:b/>
                <w:sz w:val="22"/>
              </w:rPr>
              <w:t>MATH1011**</w:t>
            </w:r>
          </w:p>
          <w:p>
            <w:pPr>
              <w:pStyle w:val="TableParagraph"/>
              <w:spacing w:line="268" w:lineRule="exact" w:before="1"/>
              <w:ind w:left="313" w:right="301"/>
              <w:rPr>
                <w:sz w:val="22"/>
              </w:rPr>
            </w:pPr>
            <w:r>
              <w:rPr>
                <w:sz w:val="22"/>
              </w:rPr>
              <w:t>Multivariable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Calculus</w:t>
            </w:r>
          </w:p>
          <w:p>
            <w:pPr>
              <w:pStyle w:val="TableParagraph"/>
              <w:ind w:left="314" w:right="30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Math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Specialist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ATAR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MATH1722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307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42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35" w:right="426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8" w:type="dxa"/>
            <w:shd w:val="clear" w:color="auto" w:fill="C5D9F0"/>
          </w:tcPr>
          <w:p>
            <w:pPr>
              <w:pStyle w:val="TableParagraph"/>
              <w:spacing w:before="59"/>
              <w:ind w:left="311" w:right="301"/>
              <w:rPr>
                <w:b/>
                <w:sz w:val="22"/>
              </w:rPr>
            </w:pPr>
            <w:r>
              <w:rPr>
                <w:b/>
                <w:sz w:val="22"/>
              </w:rPr>
              <w:t>MATH1012**</w:t>
            </w:r>
          </w:p>
          <w:p>
            <w:pPr>
              <w:pStyle w:val="TableParagraph"/>
              <w:spacing w:line="268" w:lineRule="exact"/>
              <w:ind w:left="316" w:right="301"/>
              <w:rPr>
                <w:sz w:val="22"/>
              </w:rPr>
            </w:pPr>
            <w:r>
              <w:rPr>
                <w:sz w:val="22"/>
              </w:rPr>
              <w:t>Mathematical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Theory 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Methods</w:t>
            </w:r>
          </w:p>
          <w:p>
            <w:pPr>
              <w:pStyle w:val="TableParagraph"/>
              <w:ind w:left="313" w:right="30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Math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Specialist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ATAR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MATH1722</w:t>
            </w:r>
          </w:p>
        </w:tc>
      </w:tr>
      <w:tr>
        <w:trPr>
          <w:trHeight w:val="928" w:hRule="atLeast"/>
        </w:trPr>
        <w:tc>
          <w:tcPr>
            <w:tcW w:w="1370" w:type="dxa"/>
          </w:tcPr>
          <w:p>
            <w:pPr>
              <w:pStyle w:val="TableParagraph"/>
              <w:spacing w:line="268" w:lineRule="exact" w:before="61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line="268" w:lineRule="exact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307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42" w:type="dxa"/>
            <w:shd w:val="clear" w:color="auto" w:fill="D9D9D9"/>
          </w:tcPr>
          <w:p>
            <w:pPr>
              <w:pStyle w:val="TableParagraph"/>
              <w:spacing w:before="97"/>
              <w:ind w:left="435" w:right="424"/>
              <w:rPr>
                <w:b/>
                <w:sz w:val="22"/>
              </w:rPr>
            </w:pPr>
            <w:r>
              <w:rPr>
                <w:b/>
                <w:sz w:val="22"/>
              </w:rPr>
              <w:t>MATH2021</w:t>
            </w:r>
          </w:p>
          <w:p>
            <w:pPr>
              <w:pStyle w:val="TableParagraph"/>
              <w:spacing w:line="268" w:lineRule="exact"/>
              <w:ind w:left="435" w:right="426"/>
              <w:rPr>
                <w:sz w:val="22"/>
              </w:rPr>
            </w:pPr>
            <w:r>
              <w:rPr>
                <w:sz w:val="22"/>
              </w:rPr>
              <w:t>Intro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Mathematics</w:t>
            </w:r>
          </w:p>
          <w:p>
            <w:pPr>
              <w:pStyle w:val="TableParagraph"/>
              <w:ind w:left="435" w:right="42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MATH1011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MATH1012</w:t>
            </w:r>
          </w:p>
        </w:tc>
        <w:tc>
          <w:tcPr>
            <w:tcW w:w="3638" w:type="dxa"/>
            <w:shd w:val="clear" w:color="auto" w:fill="D9D9D9"/>
          </w:tcPr>
          <w:p>
            <w:pPr>
              <w:pStyle w:val="TableParagraph"/>
              <w:spacing w:line="268" w:lineRule="exact"/>
              <w:ind w:left="314" w:right="301"/>
              <w:rPr>
                <w:b/>
                <w:sz w:val="22"/>
              </w:rPr>
            </w:pPr>
            <w:r>
              <w:rPr>
                <w:b/>
                <w:sz w:val="22"/>
              </w:rPr>
              <w:t>MATH2031</w:t>
            </w:r>
          </w:p>
          <w:p>
            <w:pPr>
              <w:pStyle w:val="TableParagraph"/>
              <w:spacing w:line="268" w:lineRule="exact"/>
              <w:ind w:left="314" w:right="301"/>
              <w:rPr>
                <w:sz w:val="22"/>
              </w:rPr>
            </w:pPr>
            <w:r>
              <w:rPr>
                <w:sz w:val="22"/>
              </w:rPr>
              <w:t>Intro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Mathematics</w:t>
            </w:r>
          </w:p>
          <w:p>
            <w:pPr>
              <w:pStyle w:val="TableParagraph"/>
              <w:spacing w:line="195" w:lineRule="exact"/>
              <w:ind w:left="314" w:right="30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</w:rPr>
              <w:t>MATH1012</w:t>
            </w:r>
          </w:p>
          <w:p>
            <w:pPr>
              <w:pStyle w:val="TableParagraph"/>
              <w:spacing w:line="177" w:lineRule="exact"/>
              <w:ind w:left="316" w:right="30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Coreq: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MATH1011</w:t>
            </w:r>
          </w:p>
        </w:tc>
      </w:tr>
      <w:tr>
        <w:trPr>
          <w:trHeight w:val="1000" w:hRule="atLeast"/>
        </w:trPr>
        <w:tc>
          <w:tcPr>
            <w:tcW w:w="1370" w:type="dxa"/>
          </w:tcPr>
          <w:p>
            <w:pPr>
              <w:pStyle w:val="TableParagraph"/>
              <w:spacing w:line="268" w:lineRule="exact" w:before="97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line="268" w:lineRule="exact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307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42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434" w:right="426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8" w:type="dxa"/>
            <w:shd w:val="clear" w:color="auto" w:fill="D9D9D9"/>
          </w:tcPr>
          <w:p>
            <w:pPr>
              <w:pStyle w:val="TableParagraph"/>
              <w:ind w:left="335" w:right="321" w:firstLine="3"/>
              <w:rPr>
                <w:sz w:val="22"/>
              </w:rPr>
            </w:pPr>
            <w:r>
              <w:rPr>
                <w:b/>
                <w:sz w:val="22"/>
              </w:rPr>
              <w:t>STAT2062 (see Note 2)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Fundamentals of Probability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BSc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ELECTIVE</w:t>
            </w:r>
          </w:p>
          <w:p>
            <w:pPr>
              <w:pStyle w:val="TableParagraph"/>
              <w:spacing w:line="175" w:lineRule="exact"/>
              <w:ind w:left="316" w:right="30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MATH1011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MATH1012</w:t>
            </w:r>
          </w:p>
        </w:tc>
      </w:tr>
      <w:tr>
        <w:trPr>
          <w:trHeight w:val="806" w:hRule="atLeast"/>
        </w:trPr>
        <w:tc>
          <w:tcPr>
            <w:tcW w:w="1370" w:type="dxa"/>
          </w:tcPr>
          <w:p>
            <w:pPr>
              <w:pStyle w:val="TableParagraph"/>
              <w:spacing w:line="268" w:lineRule="exact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73" w:right="163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3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4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35" w:right="426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8" w:type="dxa"/>
            <w:shd w:val="clear" w:color="auto" w:fill="D9D9D9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11" w:right="301"/>
              <w:rPr>
                <w:rFonts w:ascii="Source Sans Pro" w:hAnsi="Source Sans Pro"/>
                <w:sz w:val="18"/>
              </w:rPr>
            </w:pPr>
            <w:r>
              <w:rPr>
                <w:b/>
                <w:sz w:val="22"/>
              </w:rPr>
              <w:t>Maths 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rFonts w:ascii="Source Sans Pro" w:hAnsi="Source Sans Pro"/>
                <w:color w:val="464646"/>
                <w:sz w:val="18"/>
              </w:rPr>
              <w:t>†</w:t>
            </w:r>
          </w:p>
        </w:tc>
      </w:tr>
      <w:tr>
        <w:trPr>
          <w:trHeight w:val="832" w:hRule="atLeast"/>
        </w:trPr>
        <w:tc>
          <w:tcPr>
            <w:tcW w:w="1370" w:type="dxa"/>
          </w:tcPr>
          <w:p>
            <w:pPr>
              <w:pStyle w:val="TableParagraph"/>
              <w:spacing w:before="13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spacing w:line="268" w:lineRule="exact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line="263" w:lineRule="exact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307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42" w:type="dxa"/>
            <w:shd w:val="clear" w:color="auto" w:fill="D9D9D9"/>
          </w:tcPr>
          <w:p>
            <w:pPr>
              <w:pStyle w:val="TableParagraph"/>
              <w:spacing w:line="267" w:lineRule="exact" w:before="148"/>
              <w:ind w:left="435" w:right="426"/>
              <w:rPr>
                <w:b/>
                <w:sz w:val="22"/>
              </w:rPr>
            </w:pPr>
            <w:r>
              <w:rPr>
                <w:b/>
                <w:sz w:val="22"/>
              </w:rPr>
              <w:t>BSc ELECTIVE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(see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1)</w:t>
            </w:r>
          </w:p>
          <w:p>
            <w:pPr>
              <w:pStyle w:val="TableParagraph"/>
              <w:spacing w:line="267" w:lineRule="exact"/>
              <w:ind w:left="435" w:right="424"/>
              <w:rPr>
                <w:sz w:val="22"/>
              </w:rPr>
            </w:pPr>
            <w:r>
              <w:rPr>
                <w:sz w:val="22"/>
              </w:rPr>
              <w:t>(in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SCOM1101)</w:t>
            </w:r>
          </w:p>
        </w:tc>
        <w:tc>
          <w:tcPr>
            <w:tcW w:w="3638" w:type="dxa"/>
            <w:shd w:val="clear" w:color="auto" w:fill="D9D9D9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16" w:right="301"/>
              <w:rPr>
                <w:rFonts w:ascii="Source Sans Pro" w:hAnsi="Source Sans Pro"/>
                <w:sz w:val="18"/>
              </w:rPr>
            </w:pPr>
            <w:r>
              <w:rPr>
                <w:b/>
                <w:sz w:val="22"/>
              </w:rPr>
              <w:t>Maths 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rFonts w:ascii="Source Sans Pro" w:hAnsi="Source Sans Pro"/>
                <w:color w:val="464646"/>
                <w:sz w:val="18"/>
              </w:rPr>
              <w:t>†</w:t>
            </w:r>
          </w:p>
        </w:tc>
      </w:tr>
      <w:tr>
        <w:trPr>
          <w:trHeight w:val="805" w:hRule="atLeast"/>
        </w:trPr>
        <w:tc>
          <w:tcPr>
            <w:tcW w:w="1370" w:type="dxa"/>
          </w:tcPr>
          <w:p>
            <w:pPr>
              <w:pStyle w:val="TableParagraph"/>
              <w:spacing w:line="268" w:lineRule="exact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line="249" w:lineRule="exact"/>
              <w:ind w:left="173" w:right="163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3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4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35" w:right="426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8" w:type="dxa"/>
            <w:shd w:val="clear" w:color="auto" w:fill="D9D9D9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16" w:right="301"/>
              <w:rPr>
                <w:rFonts w:ascii="Source Sans Pro" w:hAnsi="Source Sans Pro"/>
                <w:sz w:val="18"/>
              </w:rPr>
            </w:pPr>
            <w:r>
              <w:rPr>
                <w:b/>
                <w:sz w:val="22"/>
              </w:rPr>
              <w:t>Maths 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rFonts w:ascii="Source Sans Pro" w:hAnsi="Source Sans Pro"/>
                <w:color w:val="464646"/>
                <w:sz w:val="18"/>
              </w:rPr>
              <w:t>†</w:t>
            </w:r>
          </w:p>
        </w:tc>
      </w:tr>
      <w:tr>
        <w:trPr>
          <w:trHeight w:val="806" w:hRule="atLeast"/>
        </w:trPr>
        <w:tc>
          <w:tcPr>
            <w:tcW w:w="1370" w:type="dxa"/>
          </w:tcPr>
          <w:p>
            <w:pPr>
              <w:pStyle w:val="TableParagraph"/>
              <w:spacing w:line="268" w:lineRule="exact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line="249" w:lineRule="exact"/>
              <w:ind w:left="173" w:right="163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3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4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35" w:right="426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638" w:type="dxa"/>
            <w:shd w:val="clear" w:color="auto" w:fill="D9D9D9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16" w:right="301"/>
              <w:rPr>
                <w:rFonts w:ascii="Source Sans Pro" w:hAnsi="Source Sans Pro"/>
                <w:sz w:val="18"/>
              </w:rPr>
            </w:pPr>
            <w:r>
              <w:rPr>
                <w:b/>
                <w:sz w:val="22"/>
              </w:rPr>
              <w:t>Maths 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rFonts w:ascii="Source Sans Pro" w:hAnsi="Source Sans Pro"/>
                <w:color w:val="464646"/>
                <w:sz w:val="18"/>
              </w:rPr>
              <w:t>†</w:t>
            </w:r>
          </w:p>
        </w:tc>
      </w:tr>
      <w:tr>
        <w:trPr>
          <w:trHeight w:val="810" w:hRule="atLeast"/>
        </w:trPr>
        <w:tc>
          <w:tcPr>
            <w:tcW w:w="1370" w:type="dxa"/>
          </w:tcPr>
          <w:p>
            <w:pPr>
              <w:pStyle w:val="TableParagraph"/>
              <w:spacing w:before="1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line="252" w:lineRule="exact" w:before="1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307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42" w:type="dxa"/>
          </w:tcPr>
          <w:p>
            <w:pPr>
              <w:pStyle w:val="TableParagraph"/>
              <w:spacing w:before="136"/>
              <w:ind w:left="435" w:right="426"/>
              <w:rPr>
                <w:sz w:val="22"/>
              </w:rPr>
            </w:pPr>
            <w:r>
              <w:rPr>
                <w:sz w:val="22"/>
              </w:rPr>
              <w:t>FREE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ELECTIVE</w:t>
            </w:r>
          </w:p>
          <w:p>
            <w:pPr>
              <w:pStyle w:val="TableParagraph"/>
              <w:ind w:left="435" w:right="426"/>
              <w:rPr>
                <w:sz w:val="22"/>
              </w:rPr>
            </w:pP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MATH1011)</w:t>
            </w:r>
          </w:p>
        </w:tc>
        <w:tc>
          <w:tcPr>
            <w:tcW w:w="3638" w:type="dxa"/>
            <w:shd w:val="clear" w:color="auto" w:fill="D9D9D9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314" w:right="301"/>
              <w:rPr>
                <w:b/>
                <w:sz w:val="22"/>
              </w:rPr>
            </w:pPr>
            <w:r>
              <w:rPr>
                <w:b/>
                <w:sz w:val="22"/>
              </w:rPr>
              <w:t>BSc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ELECTIVE</w:t>
            </w:r>
          </w:p>
        </w:tc>
      </w:tr>
      <w:tr>
        <w:trPr>
          <w:trHeight w:val="805" w:hRule="atLeast"/>
        </w:trPr>
        <w:tc>
          <w:tcPr>
            <w:tcW w:w="1370" w:type="dxa"/>
          </w:tcPr>
          <w:p>
            <w:pPr>
              <w:pStyle w:val="TableParagraph"/>
              <w:spacing w:line="267" w:lineRule="exact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spacing w:line="267" w:lineRule="exact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line="252" w:lineRule="exact"/>
              <w:ind w:left="173" w:right="163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307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06" w:right="129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26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82" w:right="127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542" w:type="dxa"/>
          </w:tcPr>
          <w:p>
            <w:pPr>
              <w:pStyle w:val="TableParagraph"/>
              <w:spacing w:line="267" w:lineRule="exact" w:before="133"/>
              <w:ind w:left="435" w:right="426"/>
              <w:rPr>
                <w:sz w:val="22"/>
              </w:rPr>
            </w:pPr>
            <w:r>
              <w:rPr>
                <w:sz w:val="22"/>
              </w:rPr>
              <w:t>FREE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ELECTIVE</w:t>
            </w:r>
          </w:p>
          <w:p>
            <w:pPr>
              <w:pStyle w:val="TableParagraph"/>
              <w:spacing w:line="267" w:lineRule="exact"/>
              <w:ind w:left="435" w:right="426"/>
              <w:rPr>
                <w:sz w:val="22"/>
              </w:rPr>
            </w:pP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MATH1012)</w:t>
            </w:r>
          </w:p>
        </w:tc>
        <w:tc>
          <w:tcPr>
            <w:tcW w:w="3638" w:type="dxa"/>
            <w:shd w:val="clear" w:color="auto" w:fill="D9D9D9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14" w:right="301"/>
              <w:rPr>
                <w:b/>
                <w:sz w:val="22"/>
              </w:rPr>
            </w:pPr>
            <w:r>
              <w:rPr>
                <w:b/>
                <w:sz w:val="22"/>
              </w:rPr>
              <w:t>BSc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ELECTIVE</w:t>
            </w:r>
          </w:p>
        </w:tc>
      </w:tr>
    </w:tbl>
    <w:p>
      <w:pPr>
        <w:spacing w:before="4"/>
        <w:ind w:left="392" w:right="0" w:firstLine="0"/>
        <w:jc w:val="left"/>
        <w:rPr>
          <w:sz w:val="20"/>
        </w:rPr>
      </w:pPr>
      <w:r>
        <w:rPr>
          <w:sz w:val="20"/>
        </w:rPr>
        <w:t>Additionally,</w:t>
      </w:r>
      <w:r>
        <w:rPr>
          <w:spacing w:val="-3"/>
          <w:sz w:val="20"/>
        </w:rPr>
        <w:t> </w:t>
      </w:r>
      <w:r>
        <w:rPr>
          <w:sz w:val="20"/>
        </w:rPr>
        <w:t>students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GENG1000,</w:t>
      </w:r>
      <w:r>
        <w:rPr>
          <w:spacing w:val="-2"/>
          <w:sz w:val="20"/>
        </w:rPr>
        <w:t> </w:t>
      </w:r>
      <w:r>
        <w:rPr>
          <w:sz w:val="20"/>
        </w:rPr>
        <w:t>GENG2000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GENG3000</w:t>
      </w:r>
      <w:r>
        <w:rPr>
          <w:spacing w:val="-3"/>
          <w:sz w:val="20"/>
        </w:rPr>
        <w:t> </w:t>
      </w:r>
      <w:r>
        <w:rPr>
          <w:sz w:val="20"/>
        </w:rPr>
        <w:t>Engineering</w:t>
      </w:r>
      <w:r>
        <w:rPr>
          <w:spacing w:val="-1"/>
          <w:sz w:val="20"/>
        </w:rPr>
        <w:t> </w:t>
      </w:r>
      <w:r>
        <w:rPr>
          <w:sz w:val="20"/>
        </w:rPr>
        <w:t>Practice</w:t>
      </w:r>
      <w:r>
        <w:rPr>
          <w:spacing w:val="-5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(0</w:t>
      </w:r>
      <w:r>
        <w:rPr>
          <w:spacing w:val="-3"/>
          <w:sz w:val="20"/>
        </w:rPr>
        <w:t> </w:t>
      </w:r>
      <w:r>
        <w:rPr>
          <w:sz w:val="20"/>
        </w:rPr>
        <w:t>pts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1week</w:t>
      </w:r>
      <w:r>
        <w:rPr>
          <w:spacing w:val="-3"/>
          <w:sz w:val="20"/>
        </w:rPr>
        <w:t> </w:t>
      </w:r>
      <w:r>
        <w:rPr>
          <w:sz w:val="20"/>
        </w:rPr>
        <w:t>modules)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GENG5010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4"/>
          <w:sz w:val="20"/>
        </w:rPr>
        <w:t> </w:t>
      </w:r>
      <w:r>
        <w:rPr>
          <w:sz w:val="20"/>
        </w:rPr>
        <w:t>Eng.</w:t>
      </w:r>
      <w:r>
        <w:rPr>
          <w:spacing w:val="-3"/>
          <w:sz w:val="20"/>
        </w:rPr>
        <w:t> </w:t>
      </w:r>
      <w:r>
        <w:rPr>
          <w:sz w:val="20"/>
        </w:rPr>
        <w:t>Portfolio</w:t>
      </w:r>
      <w:r>
        <w:rPr>
          <w:spacing w:val="-3"/>
          <w:sz w:val="20"/>
        </w:rPr>
        <w:t> </w:t>
      </w:r>
      <w:r>
        <w:rPr>
          <w:sz w:val="20"/>
        </w:rPr>
        <w:t>(0</w:t>
      </w:r>
      <w:r>
        <w:rPr>
          <w:spacing w:val="-4"/>
          <w:sz w:val="20"/>
        </w:rPr>
        <w:t> </w:t>
      </w:r>
      <w:r>
        <w:rPr>
          <w:sz w:val="20"/>
        </w:rPr>
        <w:t>pts)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22" w:footer="362" w:top="1360" w:bottom="560" w:left="74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240" w:lineRule="auto" w:before="52"/>
      </w:pPr>
      <w:r>
        <w:rPr>
          <w:color w:val="1F487C"/>
        </w:rPr>
        <w:t>#</w:t>
      </w:r>
      <w:r>
        <w:rPr>
          <w:color w:val="1F487C"/>
          <w:spacing w:val="-1"/>
        </w:rPr>
        <w:t> </w:t>
      </w:r>
      <w:r>
        <w:rPr>
          <w:color w:val="1F487C"/>
        </w:rPr>
        <w:t>Maths &amp;</w:t>
      </w:r>
      <w:r>
        <w:rPr>
          <w:color w:val="1F487C"/>
          <w:spacing w:val="-2"/>
        </w:rPr>
        <w:t> </w:t>
      </w:r>
      <w:r>
        <w:rPr>
          <w:color w:val="1F487C"/>
        </w:rPr>
        <w:t>Stats Major</w:t>
      </w:r>
      <w:r>
        <w:rPr>
          <w:color w:val="1F487C"/>
          <w:spacing w:val="-2"/>
        </w:rPr>
        <w:t> </w:t>
      </w:r>
      <w:r>
        <w:rPr>
          <w:color w:val="1F487C"/>
        </w:rPr>
        <w:t>Option Units:</w:t>
      </w:r>
      <w:r>
        <w:rPr>
          <w:color w:val="1F487C"/>
          <w:spacing w:val="50"/>
        </w:rPr>
        <w:t> </w:t>
      </w:r>
      <w:r>
        <w:rPr>
          <w:color w:val="1F487C"/>
        </w:rPr>
        <w:t>Take</w:t>
      </w:r>
      <w:r>
        <w:rPr>
          <w:color w:val="1F487C"/>
          <w:spacing w:val="-1"/>
        </w:rPr>
        <w:t> </w:t>
      </w:r>
      <w:r>
        <w:rPr>
          <w:color w:val="1F487C"/>
        </w:rPr>
        <w:t>units</w:t>
      </w:r>
      <w:r>
        <w:rPr>
          <w:color w:val="1F487C"/>
          <w:spacing w:val="-3"/>
        </w:rPr>
        <w:t> </w:t>
      </w:r>
      <w:r>
        <w:rPr>
          <w:color w:val="1F487C"/>
        </w:rPr>
        <w:t>to the</w:t>
      </w:r>
      <w:r>
        <w:rPr>
          <w:color w:val="1F487C"/>
          <w:spacing w:val="-1"/>
        </w:rPr>
        <w:t> </w:t>
      </w:r>
      <w:r>
        <w:rPr>
          <w:color w:val="1F487C"/>
        </w:rPr>
        <w:t>value</w:t>
      </w:r>
      <w:r>
        <w:rPr>
          <w:color w:val="1F487C"/>
          <w:spacing w:val="-4"/>
        </w:rPr>
        <w:t> </w:t>
      </w:r>
      <w:r>
        <w:rPr>
          <w:color w:val="1F487C"/>
        </w:rPr>
        <w:t>of</w:t>
      </w:r>
      <w:r>
        <w:rPr>
          <w:color w:val="1F487C"/>
          <w:spacing w:val="-3"/>
        </w:rPr>
        <w:t> </w:t>
      </w:r>
      <w:r>
        <w:rPr>
          <w:color w:val="1F487C"/>
        </w:rPr>
        <w:t>24</w:t>
      </w:r>
      <w:r>
        <w:rPr>
          <w:color w:val="1F487C"/>
          <w:spacing w:val="-2"/>
        </w:rPr>
        <w:t> </w:t>
      </w:r>
      <w:r>
        <w:rPr>
          <w:color w:val="1F487C"/>
        </w:rPr>
        <w:t>points</w:t>
      </w:r>
      <w:r>
        <w:rPr>
          <w:color w:val="1F487C"/>
          <w:spacing w:val="-5"/>
        </w:rPr>
        <w:t> </w:t>
      </w:r>
      <w:r>
        <w:rPr>
          <w:color w:val="1F487C"/>
        </w:rPr>
        <w:t>from</w:t>
      </w:r>
      <w:r>
        <w:rPr>
          <w:color w:val="1F487C"/>
          <w:spacing w:val="-2"/>
        </w:rPr>
        <w:t> </w:t>
      </w:r>
      <w:r>
        <w:rPr>
          <w:color w:val="1F487C"/>
        </w:rPr>
        <w:t>this</w:t>
      </w:r>
      <w:r>
        <w:rPr>
          <w:color w:val="1F487C"/>
          <w:spacing w:val="-3"/>
        </w:rPr>
        <w:t> </w:t>
      </w:r>
      <w:r>
        <w:rPr>
          <w:color w:val="1F487C"/>
        </w:rPr>
        <w:t>group: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3639"/>
        <w:gridCol w:w="3490"/>
        <w:gridCol w:w="3792"/>
      </w:tblGrid>
      <w:tr>
        <w:trPr>
          <w:trHeight w:val="755" w:hRule="atLeast"/>
        </w:trPr>
        <w:tc>
          <w:tcPr>
            <w:tcW w:w="3641" w:type="dxa"/>
          </w:tcPr>
          <w:p>
            <w:pPr>
              <w:pStyle w:val="TableParagraph"/>
              <w:spacing w:before="11"/>
              <w:ind w:left="230" w:right="217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MATH3002</w:t>
            </w:r>
            <w:r>
              <w:rPr>
                <w:color w:val="0E54B5"/>
                <w:sz w:val="22"/>
              </w:rPr>
              <w:t> </w:t>
            </w:r>
            <w:r>
              <w:rPr>
                <w:color w:val="4B4D4F"/>
                <w:sz w:val="22"/>
              </w:rPr>
              <w:t>(S1)</w:t>
            </w:r>
          </w:p>
          <w:p>
            <w:pPr>
              <w:pStyle w:val="TableParagraph"/>
              <w:spacing w:line="268" w:lineRule="exact"/>
              <w:ind w:left="230" w:right="217"/>
              <w:rPr>
                <w:sz w:val="22"/>
              </w:rPr>
            </w:pPr>
            <w:r>
              <w:rPr>
                <w:color w:val="464646"/>
                <w:sz w:val="22"/>
              </w:rPr>
              <w:t>Network</w:t>
            </w:r>
            <w:r>
              <w:rPr>
                <w:color w:val="464646"/>
                <w:spacing w:val="-1"/>
                <w:sz w:val="22"/>
              </w:rPr>
              <w:t> </w:t>
            </w:r>
            <w:r>
              <w:rPr>
                <w:color w:val="464646"/>
                <w:sz w:val="22"/>
              </w:rPr>
              <w:t>Science</w:t>
            </w:r>
          </w:p>
          <w:p>
            <w:pPr>
              <w:pStyle w:val="TableParagraph"/>
              <w:spacing w:line="187" w:lineRule="exact"/>
              <w:ind w:left="232" w:right="216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MATH1012</w:t>
            </w:r>
          </w:p>
        </w:tc>
        <w:tc>
          <w:tcPr>
            <w:tcW w:w="3639" w:type="dxa"/>
          </w:tcPr>
          <w:p>
            <w:pPr>
              <w:pStyle w:val="TableParagraph"/>
              <w:spacing w:before="11"/>
              <w:ind w:left="413" w:right="403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MATH3021</w:t>
            </w:r>
            <w:r>
              <w:rPr>
                <w:color w:val="0E54B5"/>
                <w:sz w:val="22"/>
              </w:rPr>
              <w:t> </w:t>
            </w:r>
            <w:r>
              <w:rPr>
                <w:color w:val="4B4D4F"/>
                <w:sz w:val="22"/>
              </w:rPr>
              <w:t>(S1)</w:t>
            </w:r>
          </w:p>
          <w:p>
            <w:pPr>
              <w:pStyle w:val="TableParagraph"/>
              <w:spacing w:line="268" w:lineRule="exact"/>
              <w:ind w:left="413" w:right="403"/>
              <w:rPr>
                <w:sz w:val="22"/>
              </w:rPr>
            </w:pPr>
            <w:r>
              <w:rPr>
                <w:color w:val="464646"/>
                <w:sz w:val="22"/>
              </w:rPr>
              <w:t>Nonlinear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Dynamics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and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Chaos</w:t>
            </w:r>
          </w:p>
          <w:p>
            <w:pPr>
              <w:pStyle w:val="TableParagraph"/>
              <w:spacing w:line="187" w:lineRule="exact"/>
              <w:ind w:left="413" w:right="400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MATH2021</w:t>
            </w:r>
          </w:p>
        </w:tc>
        <w:tc>
          <w:tcPr>
            <w:tcW w:w="3490" w:type="dxa"/>
          </w:tcPr>
          <w:p>
            <w:pPr>
              <w:pStyle w:val="TableParagraph"/>
              <w:spacing w:before="11"/>
              <w:ind w:left="212" w:right="203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MATH3022</w:t>
            </w:r>
            <w:r>
              <w:rPr>
                <w:color w:val="0E54B5"/>
                <w:sz w:val="22"/>
              </w:rPr>
              <w:t> </w:t>
            </w:r>
            <w:r>
              <w:rPr>
                <w:color w:val="4B4D4F"/>
                <w:sz w:val="22"/>
              </w:rPr>
              <w:t>(S2)</w:t>
            </w:r>
          </w:p>
          <w:p>
            <w:pPr>
              <w:pStyle w:val="TableParagraph"/>
              <w:spacing w:line="268" w:lineRule="exact"/>
              <w:ind w:left="212" w:right="204"/>
              <w:rPr>
                <w:sz w:val="22"/>
              </w:rPr>
            </w:pPr>
            <w:r>
              <w:rPr>
                <w:color w:val="464646"/>
                <w:sz w:val="22"/>
              </w:rPr>
              <w:t>Scientific</w:t>
            </w:r>
            <w:r>
              <w:rPr>
                <w:color w:val="464646"/>
                <w:spacing w:val="-4"/>
                <w:sz w:val="22"/>
              </w:rPr>
              <w:t> </w:t>
            </w:r>
            <w:r>
              <w:rPr>
                <w:color w:val="464646"/>
                <w:sz w:val="22"/>
              </w:rPr>
              <w:t>and</w:t>
            </w:r>
            <w:r>
              <w:rPr>
                <w:color w:val="464646"/>
                <w:spacing w:val="-4"/>
                <w:sz w:val="22"/>
              </w:rPr>
              <w:t> </w:t>
            </w:r>
            <w:r>
              <w:rPr>
                <w:color w:val="464646"/>
                <w:sz w:val="22"/>
              </w:rPr>
              <w:t>Industrial</w:t>
            </w:r>
            <w:r>
              <w:rPr>
                <w:color w:val="464646"/>
                <w:spacing w:val="-4"/>
                <w:sz w:val="22"/>
              </w:rPr>
              <w:t> </w:t>
            </w:r>
            <w:r>
              <w:rPr>
                <w:color w:val="464646"/>
                <w:sz w:val="22"/>
              </w:rPr>
              <w:t>Modelling</w:t>
            </w:r>
          </w:p>
          <w:p>
            <w:pPr>
              <w:pStyle w:val="TableParagraph"/>
              <w:spacing w:line="187" w:lineRule="exact"/>
              <w:ind w:left="212" w:right="200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MATH2021</w:t>
            </w:r>
          </w:p>
        </w:tc>
        <w:tc>
          <w:tcPr>
            <w:tcW w:w="3792" w:type="dxa"/>
          </w:tcPr>
          <w:p>
            <w:pPr>
              <w:pStyle w:val="TableParagraph"/>
              <w:spacing w:before="11"/>
              <w:ind w:left="114" w:right="105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MATH3024</w:t>
            </w:r>
            <w:r>
              <w:rPr>
                <w:color w:val="0E54B5"/>
                <w:sz w:val="22"/>
              </w:rPr>
              <w:t> </w:t>
            </w:r>
            <w:r>
              <w:rPr>
                <w:color w:val="4B4D4F"/>
                <w:sz w:val="22"/>
              </w:rPr>
              <w:t>(S2)</w:t>
            </w:r>
          </w:p>
          <w:p>
            <w:pPr>
              <w:pStyle w:val="TableParagraph"/>
              <w:spacing w:line="268" w:lineRule="exact"/>
              <w:ind w:left="112" w:right="105"/>
              <w:rPr>
                <w:sz w:val="22"/>
              </w:rPr>
            </w:pPr>
            <w:r>
              <w:rPr>
                <w:color w:val="464646"/>
                <w:sz w:val="22"/>
              </w:rPr>
              <w:t>Complex</w:t>
            </w:r>
            <w:r>
              <w:rPr>
                <w:color w:val="464646"/>
                <w:spacing w:val="-1"/>
                <w:sz w:val="22"/>
              </w:rPr>
              <w:t> </w:t>
            </w:r>
            <w:r>
              <w:rPr>
                <w:color w:val="464646"/>
                <w:sz w:val="22"/>
              </w:rPr>
              <w:t>Systems</w:t>
            </w:r>
          </w:p>
          <w:p>
            <w:pPr>
              <w:pStyle w:val="TableParagraph"/>
              <w:spacing w:line="187" w:lineRule="exact"/>
              <w:ind w:left="111" w:right="105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MATH2021</w:t>
            </w:r>
          </w:p>
        </w:tc>
      </w:tr>
      <w:tr>
        <w:trPr>
          <w:trHeight w:val="733" w:hRule="atLeast"/>
        </w:trPr>
        <w:tc>
          <w:tcPr>
            <w:tcW w:w="3641" w:type="dxa"/>
          </w:tcPr>
          <w:p>
            <w:pPr>
              <w:pStyle w:val="TableParagraph"/>
              <w:spacing w:line="268" w:lineRule="exact"/>
              <w:ind w:left="230" w:right="217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MATH3031</w:t>
            </w:r>
            <w:r>
              <w:rPr>
                <w:color w:val="0E54B5"/>
                <w:sz w:val="22"/>
              </w:rPr>
              <w:t> </w:t>
            </w:r>
            <w:r>
              <w:rPr>
                <w:color w:val="4B4D4F"/>
                <w:sz w:val="22"/>
              </w:rPr>
              <w:t>(S1)</w:t>
            </w:r>
          </w:p>
          <w:p>
            <w:pPr>
              <w:pStyle w:val="TableParagraph"/>
              <w:spacing w:line="268" w:lineRule="exact"/>
              <w:ind w:left="232" w:right="217"/>
              <w:rPr>
                <w:sz w:val="22"/>
              </w:rPr>
            </w:pPr>
            <w:r>
              <w:rPr>
                <w:color w:val="464646"/>
                <w:sz w:val="22"/>
              </w:rPr>
              <w:t>Algebraic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Structures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and</w:t>
            </w:r>
            <w:r>
              <w:rPr>
                <w:color w:val="464646"/>
                <w:spacing w:val="-4"/>
                <w:sz w:val="22"/>
              </w:rPr>
              <w:t> </w:t>
            </w:r>
            <w:r>
              <w:rPr>
                <w:color w:val="464646"/>
                <w:sz w:val="22"/>
              </w:rPr>
              <w:t>Symmetry</w:t>
            </w:r>
          </w:p>
          <w:p>
            <w:pPr>
              <w:pStyle w:val="TableParagraph"/>
              <w:spacing w:line="178" w:lineRule="exact"/>
              <w:ind w:left="232" w:right="216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MATH2031</w:t>
            </w:r>
          </w:p>
        </w:tc>
        <w:tc>
          <w:tcPr>
            <w:tcW w:w="3639" w:type="dxa"/>
          </w:tcPr>
          <w:p>
            <w:pPr>
              <w:pStyle w:val="TableParagraph"/>
              <w:spacing w:line="268" w:lineRule="exact"/>
              <w:ind w:left="413" w:right="403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MATH3032</w:t>
            </w:r>
            <w:r>
              <w:rPr>
                <w:color w:val="0E54B5"/>
                <w:sz w:val="22"/>
              </w:rPr>
              <w:t> </w:t>
            </w:r>
            <w:r>
              <w:rPr>
                <w:color w:val="4B4D4F"/>
                <w:sz w:val="22"/>
              </w:rPr>
              <w:t>(S2)</w:t>
            </w:r>
          </w:p>
          <w:p>
            <w:pPr>
              <w:pStyle w:val="TableParagraph"/>
              <w:spacing w:line="268" w:lineRule="exact"/>
              <w:ind w:left="413" w:right="403"/>
              <w:rPr>
                <w:sz w:val="22"/>
              </w:rPr>
            </w:pPr>
            <w:r>
              <w:rPr>
                <w:color w:val="464646"/>
                <w:sz w:val="22"/>
              </w:rPr>
              <w:t>Topology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and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Analysis</w:t>
            </w:r>
          </w:p>
          <w:p>
            <w:pPr>
              <w:pStyle w:val="TableParagraph"/>
              <w:spacing w:line="178" w:lineRule="exact"/>
              <w:ind w:left="413" w:right="400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MATH2031</w:t>
            </w:r>
          </w:p>
        </w:tc>
        <w:tc>
          <w:tcPr>
            <w:tcW w:w="3490" w:type="dxa"/>
          </w:tcPr>
          <w:p>
            <w:pPr>
              <w:pStyle w:val="TableParagraph"/>
              <w:spacing w:line="268" w:lineRule="exact"/>
              <w:ind w:left="212" w:right="203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MATH3033</w:t>
            </w:r>
            <w:r>
              <w:rPr>
                <w:color w:val="0E54B5"/>
                <w:sz w:val="22"/>
              </w:rPr>
              <w:t> </w:t>
            </w:r>
            <w:r>
              <w:rPr>
                <w:color w:val="4B4D4F"/>
                <w:sz w:val="22"/>
              </w:rPr>
              <w:t>(S2)</w:t>
            </w:r>
          </w:p>
          <w:p>
            <w:pPr>
              <w:pStyle w:val="TableParagraph"/>
              <w:spacing w:line="268" w:lineRule="exact"/>
              <w:ind w:left="212" w:right="201"/>
              <w:rPr>
                <w:sz w:val="22"/>
              </w:rPr>
            </w:pPr>
            <w:r>
              <w:rPr>
                <w:color w:val="464646"/>
                <w:sz w:val="22"/>
              </w:rPr>
              <w:t>Geometry</w:t>
            </w:r>
          </w:p>
          <w:p>
            <w:pPr>
              <w:pStyle w:val="TableParagraph"/>
              <w:spacing w:line="178" w:lineRule="exact"/>
              <w:ind w:left="212" w:right="200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MATH2031</w:t>
            </w:r>
          </w:p>
        </w:tc>
        <w:tc>
          <w:tcPr>
            <w:tcW w:w="3792" w:type="dxa"/>
          </w:tcPr>
          <w:p>
            <w:pPr>
              <w:pStyle w:val="TableParagraph"/>
              <w:spacing w:line="268" w:lineRule="exact"/>
              <w:ind w:left="111" w:right="105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STAT3061</w:t>
            </w:r>
            <w:r>
              <w:rPr>
                <w:color w:val="0E54B5"/>
                <w:sz w:val="22"/>
              </w:rPr>
              <w:t> </w:t>
            </w:r>
            <w:r>
              <w:rPr>
                <w:color w:val="4B4D4F"/>
                <w:sz w:val="22"/>
              </w:rPr>
              <w:t>(S1)</w:t>
            </w:r>
          </w:p>
          <w:p>
            <w:pPr>
              <w:pStyle w:val="TableParagraph"/>
              <w:spacing w:line="268" w:lineRule="exact"/>
              <w:ind w:left="114" w:right="105"/>
              <w:rPr>
                <w:sz w:val="22"/>
              </w:rPr>
            </w:pPr>
            <w:r>
              <w:rPr>
                <w:color w:val="464646"/>
                <w:sz w:val="22"/>
              </w:rPr>
              <w:t>Random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Processes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&amp;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Their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Applications</w:t>
            </w:r>
          </w:p>
          <w:p>
            <w:pPr>
              <w:pStyle w:val="TableParagraph"/>
              <w:spacing w:line="178" w:lineRule="exact"/>
              <w:ind w:left="111" w:right="105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STAT2062</w:t>
            </w:r>
          </w:p>
        </w:tc>
      </w:tr>
      <w:tr>
        <w:trPr>
          <w:trHeight w:val="851" w:hRule="atLeast"/>
        </w:trPr>
        <w:tc>
          <w:tcPr>
            <w:tcW w:w="3641" w:type="dxa"/>
          </w:tcPr>
          <w:p>
            <w:pPr>
              <w:pStyle w:val="TableParagraph"/>
              <w:spacing w:before="56"/>
              <w:ind w:left="232" w:right="216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STAT3062</w:t>
            </w:r>
            <w:r>
              <w:rPr>
                <w:color w:val="0E54B5"/>
                <w:sz w:val="22"/>
              </w:rPr>
              <w:t> </w:t>
            </w:r>
            <w:r>
              <w:rPr>
                <w:color w:val="4B4D4F"/>
                <w:sz w:val="22"/>
              </w:rPr>
              <w:t>(S1)</w:t>
            </w:r>
          </w:p>
          <w:p>
            <w:pPr>
              <w:pStyle w:val="TableParagraph"/>
              <w:spacing w:line="268" w:lineRule="exact" w:before="1"/>
              <w:ind w:left="232" w:right="217"/>
              <w:rPr>
                <w:sz w:val="22"/>
              </w:rPr>
            </w:pPr>
            <w:r>
              <w:rPr>
                <w:color w:val="464646"/>
                <w:sz w:val="22"/>
              </w:rPr>
              <w:t>Statistical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Science</w:t>
            </w:r>
          </w:p>
          <w:p>
            <w:pPr>
              <w:pStyle w:val="TableParagraph"/>
              <w:ind w:left="232" w:right="216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STAT2062</w:t>
            </w:r>
          </w:p>
        </w:tc>
        <w:tc>
          <w:tcPr>
            <w:tcW w:w="3639" w:type="dxa"/>
          </w:tcPr>
          <w:p>
            <w:pPr>
              <w:pStyle w:val="TableParagraph"/>
              <w:spacing w:before="56"/>
              <w:ind w:left="413" w:right="400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STAT3063</w:t>
            </w:r>
            <w:r>
              <w:rPr>
                <w:color w:val="0E54B5"/>
                <w:sz w:val="22"/>
              </w:rPr>
              <w:t> </w:t>
            </w:r>
            <w:r>
              <w:rPr>
                <w:color w:val="4B4D4F"/>
                <w:sz w:val="22"/>
              </w:rPr>
              <w:t>(S2)</w:t>
            </w:r>
          </w:p>
          <w:p>
            <w:pPr>
              <w:pStyle w:val="TableParagraph"/>
              <w:spacing w:line="268" w:lineRule="exact" w:before="1"/>
              <w:ind w:left="413" w:right="403"/>
              <w:rPr>
                <w:sz w:val="22"/>
              </w:rPr>
            </w:pPr>
            <w:r>
              <w:rPr>
                <w:color w:val="464646"/>
                <w:sz w:val="22"/>
              </w:rPr>
              <w:t>Spatial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Statistics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and</w:t>
            </w:r>
            <w:r>
              <w:rPr>
                <w:color w:val="464646"/>
                <w:spacing w:val="-5"/>
                <w:sz w:val="22"/>
              </w:rPr>
              <w:t> </w:t>
            </w:r>
            <w:r>
              <w:rPr>
                <w:color w:val="464646"/>
                <w:sz w:val="22"/>
              </w:rPr>
              <w:t>Modelling</w:t>
            </w:r>
          </w:p>
          <w:p>
            <w:pPr>
              <w:pStyle w:val="TableParagraph"/>
              <w:ind w:left="413" w:right="400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STAT2062</w:t>
            </w:r>
          </w:p>
        </w:tc>
        <w:tc>
          <w:tcPr>
            <w:tcW w:w="3490" w:type="dxa"/>
          </w:tcPr>
          <w:p>
            <w:pPr>
              <w:pStyle w:val="TableParagraph"/>
              <w:spacing w:before="56"/>
              <w:ind w:left="212" w:right="200"/>
              <w:rPr>
                <w:sz w:val="22"/>
              </w:rPr>
            </w:pPr>
            <w:r>
              <w:rPr>
                <w:color w:val="0E54B5"/>
                <w:sz w:val="22"/>
                <w:u w:val="single" w:color="0E54B5"/>
              </w:rPr>
              <w:t>STAT3064</w:t>
            </w:r>
            <w:r>
              <w:rPr>
                <w:color w:val="0E54B5"/>
                <w:sz w:val="22"/>
              </w:rPr>
              <w:t> </w:t>
            </w:r>
            <w:r>
              <w:rPr>
                <w:color w:val="4B4D4F"/>
                <w:sz w:val="22"/>
              </w:rPr>
              <w:t>(S2)</w:t>
            </w:r>
          </w:p>
          <w:p>
            <w:pPr>
              <w:pStyle w:val="TableParagraph"/>
              <w:spacing w:line="268" w:lineRule="exact" w:before="1"/>
              <w:ind w:left="212" w:right="200"/>
              <w:rPr>
                <w:sz w:val="22"/>
              </w:rPr>
            </w:pPr>
            <w:r>
              <w:rPr>
                <w:color w:val="464646"/>
                <w:sz w:val="22"/>
              </w:rPr>
              <w:t>Statistical</w:t>
            </w:r>
            <w:r>
              <w:rPr>
                <w:color w:val="464646"/>
                <w:spacing w:val="-5"/>
                <w:sz w:val="22"/>
              </w:rPr>
              <w:t> </w:t>
            </w:r>
            <w:r>
              <w:rPr>
                <w:color w:val="464646"/>
                <w:sz w:val="22"/>
              </w:rPr>
              <w:t>Learning</w:t>
            </w:r>
          </w:p>
          <w:p>
            <w:pPr>
              <w:pStyle w:val="TableParagraph"/>
              <w:ind w:left="212" w:right="203"/>
              <w:rPr>
                <w:b/>
                <w:i/>
                <w:sz w:val="16"/>
              </w:rPr>
            </w:pPr>
            <w:r>
              <w:rPr>
                <w:b/>
                <w:i/>
                <w:color w:val="464646"/>
                <w:sz w:val="16"/>
              </w:rPr>
              <w:t>Prereq:</w:t>
            </w:r>
            <w:r>
              <w:rPr>
                <w:b/>
                <w:i/>
                <w:color w:val="464646"/>
                <w:spacing w:val="-4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(STAT2401</w:t>
            </w:r>
            <w:r>
              <w:rPr>
                <w:b/>
                <w:i/>
                <w:color w:val="464646"/>
                <w:spacing w:val="-3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or</w:t>
            </w:r>
            <w:r>
              <w:rPr>
                <w:b/>
                <w:i/>
                <w:color w:val="464646"/>
                <w:spacing w:val="-1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STAT2402)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or</w:t>
            </w:r>
            <w:r>
              <w:rPr>
                <w:b/>
                <w:i/>
                <w:color w:val="464646"/>
                <w:spacing w:val="-2"/>
                <w:sz w:val="16"/>
              </w:rPr>
              <w:t> </w:t>
            </w:r>
            <w:r>
              <w:rPr>
                <w:b/>
                <w:i/>
                <w:color w:val="464646"/>
                <w:sz w:val="16"/>
              </w:rPr>
              <w:t>STAT2062</w:t>
            </w:r>
          </w:p>
        </w:tc>
        <w:tc>
          <w:tcPr>
            <w:tcW w:w="379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spacing w:before="0"/>
        <w:ind w:left="392" w:right="0" w:firstLine="0"/>
        <w:jc w:val="left"/>
        <w:rPr>
          <w:rFonts w:ascii="Source Sans Pro" w:hAnsi="Source Sans Pro"/>
          <w:sz w:val="18"/>
        </w:rPr>
      </w:pPr>
      <w:r>
        <w:rPr>
          <w:rFonts w:ascii="Source Sans Pro" w:hAnsi="Source Sans Pro"/>
          <w:color w:val="464646"/>
          <w:sz w:val="18"/>
        </w:rPr>
        <w:t>†</w:t>
      </w:r>
      <w:r>
        <w:rPr>
          <w:rFonts w:ascii="Source Sans Pro" w:hAnsi="Source Sans Pro"/>
          <w:color w:val="464646"/>
          <w:spacing w:val="-5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Students</w:t>
      </w:r>
      <w:r>
        <w:rPr>
          <w:rFonts w:ascii="Source Sans Pro" w:hAnsi="Source Sans Pro"/>
          <w:color w:val="464646"/>
          <w:spacing w:val="-5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intending</w:t>
      </w:r>
      <w:r>
        <w:rPr>
          <w:rFonts w:ascii="Source Sans Pro" w:hAnsi="Source Sans Pro"/>
          <w:color w:val="464646"/>
          <w:spacing w:val="-3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to</w:t>
      </w:r>
      <w:r>
        <w:rPr>
          <w:rFonts w:ascii="Source Sans Pro" w:hAnsi="Source Sans Pro"/>
          <w:color w:val="464646"/>
          <w:spacing w:val="-3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take</w:t>
      </w:r>
      <w:r>
        <w:rPr>
          <w:rFonts w:ascii="Source Sans Pro" w:hAnsi="Source Sans Pro"/>
          <w:color w:val="464646"/>
          <w:spacing w:val="-4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Honours</w:t>
      </w:r>
      <w:r>
        <w:rPr>
          <w:rFonts w:ascii="Source Sans Pro" w:hAnsi="Source Sans Pro"/>
          <w:color w:val="464646"/>
          <w:spacing w:val="-5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in</w:t>
      </w:r>
      <w:r>
        <w:rPr>
          <w:rFonts w:ascii="Source Sans Pro" w:hAnsi="Source Sans Pro"/>
          <w:color w:val="464646"/>
          <w:spacing w:val="-4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Mathematics</w:t>
      </w:r>
      <w:r>
        <w:rPr>
          <w:rFonts w:ascii="Source Sans Pro" w:hAnsi="Source Sans Pro"/>
          <w:color w:val="464646"/>
          <w:spacing w:val="-5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and</w:t>
      </w:r>
      <w:r>
        <w:rPr>
          <w:rFonts w:ascii="Source Sans Pro" w:hAnsi="Source Sans Pro"/>
          <w:color w:val="464646"/>
          <w:spacing w:val="-3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Statistics</w:t>
      </w:r>
      <w:r>
        <w:rPr>
          <w:rFonts w:ascii="Source Sans Pro" w:hAnsi="Source Sans Pro"/>
          <w:color w:val="464646"/>
          <w:spacing w:val="-2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should</w:t>
      </w:r>
      <w:r>
        <w:rPr>
          <w:rFonts w:ascii="Source Sans Pro" w:hAnsi="Source Sans Pro"/>
          <w:color w:val="464646"/>
          <w:spacing w:val="-3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check</w:t>
      </w:r>
      <w:r>
        <w:rPr>
          <w:rFonts w:ascii="Source Sans Pro" w:hAnsi="Source Sans Pro"/>
          <w:color w:val="464646"/>
          <w:spacing w:val="-5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that</w:t>
      </w:r>
      <w:r>
        <w:rPr>
          <w:rFonts w:ascii="Source Sans Pro" w:hAnsi="Source Sans Pro"/>
          <w:color w:val="464646"/>
          <w:spacing w:val="-4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they</w:t>
      </w:r>
      <w:r>
        <w:rPr>
          <w:rFonts w:ascii="Source Sans Pro" w:hAnsi="Source Sans Pro"/>
          <w:color w:val="464646"/>
          <w:spacing w:val="-5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will</w:t>
      </w:r>
      <w:r>
        <w:rPr>
          <w:rFonts w:ascii="Source Sans Pro" w:hAnsi="Source Sans Pro"/>
          <w:color w:val="464646"/>
          <w:spacing w:val="-4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have</w:t>
      </w:r>
      <w:r>
        <w:rPr>
          <w:rFonts w:ascii="Source Sans Pro" w:hAnsi="Source Sans Pro"/>
          <w:color w:val="464646"/>
          <w:spacing w:val="-4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the</w:t>
      </w:r>
      <w:r>
        <w:rPr>
          <w:rFonts w:ascii="Source Sans Pro" w:hAnsi="Source Sans Pro"/>
          <w:color w:val="464646"/>
          <w:spacing w:val="-4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correct</w:t>
      </w:r>
      <w:r>
        <w:rPr>
          <w:rFonts w:ascii="Source Sans Pro" w:hAnsi="Source Sans Pro"/>
          <w:color w:val="464646"/>
          <w:spacing w:val="-5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prerequisites</w:t>
      </w:r>
      <w:r>
        <w:rPr>
          <w:rFonts w:ascii="Source Sans Pro" w:hAnsi="Source Sans Pro"/>
          <w:color w:val="464646"/>
          <w:spacing w:val="-6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for</w:t>
      </w:r>
      <w:r>
        <w:rPr>
          <w:rFonts w:ascii="Source Sans Pro" w:hAnsi="Source Sans Pro"/>
          <w:color w:val="464646"/>
          <w:spacing w:val="-4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their</w:t>
      </w:r>
      <w:r>
        <w:rPr>
          <w:rFonts w:ascii="Source Sans Pro" w:hAnsi="Source Sans Pro"/>
          <w:color w:val="464646"/>
          <w:spacing w:val="-4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desired</w:t>
      </w:r>
      <w:r>
        <w:rPr>
          <w:rFonts w:ascii="Source Sans Pro" w:hAnsi="Source Sans Pro"/>
          <w:color w:val="464646"/>
          <w:spacing w:val="-3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specialisation.</w:t>
      </w:r>
      <w:r>
        <w:rPr>
          <w:rFonts w:ascii="Source Sans Pro" w:hAnsi="Source Sans Pro"/>
          <w:color w:val="464646"/>
          <w:spacing w:val="-3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Units</w:t>
      </w:r>
      <w:r>
        <w:rPr>
          <w:rFonts w:ascii="Source Sans Pro" w:hAnsi="Source Sans Pro"/>
          <w:color w:val="464646"/>
          <w:spacing w:val="-5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are</w:t>
      </w:r>
      <w:r>
        <w:rPr>
          <w:rFonts w:ascii="Source Sans Pro" w:hAnsi="Source Sans Pro"/>
          <w:color w:val="464646"/>
          <w:spacing w:val="-4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offered</w:t>
      </w:r>
      <w:r>
        <w:rPr>
          <w:rFonts w:ascii="Source Sans Pro" w:hAnsi="Source Sans Pro"/>
          <w:color w:val="464646"/>
          <w:spacing w:val="-3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in</w:t>
      </w:r>
      <w:r>
        <w:rPr>
          <w:rFonts w:ascii="Source Sans Pro" w:hAnsi="Source Sans Pro"/>
          <w:color w:val="464646"/>
          <w:spacing w:val="-4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the</w:t>
      </w:r>
      <w:r>
        <w:rPr>
          <w:rFonts w:ascii="Source Sans Pro" w:hAnsi="Source Sans Pro"/>
          <w:color w:val="464646"/>
          <w:spacing w:val="-4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following</w:t>
      </w:r>
      <w:r>
        <w:rPr>
          <w:rFonts w:ascii="Source Sans Pro" w:hAnsi="Source Sans Pro"/>
          <w:color w:val="464646"/>
          <w:spacing w:val="-3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sub-</w:t>
      </w:r>
      <w:r>
        <w:rPr>
          <w:rFonts w:ascii="Source Sans Pro" w:hAnsi="Source Sans Pro"/>
          <w:color w:val="464646"/>
          <w:spacing w:val="1"/>
          <w:sz w:val="18"/>
        </w:rPr>
        <w:t> </w:t>
      </w:r>
      <w:r>
        <w:rPr>
          <w:rFonts w:ascii="Source Sans Pro" w:hAnsi="Source Sans Pro"/>
          <w:color w:val="464646"/>
          <w:sz w:val="18"/>
        </w:rPr>
        <w:t>disciplines:</w:t>
      </w:r>
    </w:p>
    <w:p>
      <w:pPr>
        <w:spacing w:line="225" w:lineRule="exact" w:before="0"/>
        <w:ind w:left="392" w:right="0" w:firstLine="0"/>
        <w:jc w:val="left"/>
        <w:rPr>
          <w:rFonts w:ascii="Source Sans Pro"/>
          <w:sz w:val="18"/>
        </w:rPr>
      </w:pPr>
      <w:r>
        <w:rPr>
          <w:rFonts w:ascii="Source Sans Pro"/>
          <w:color w:val="464646"/>
          <w:sz w:val="18"/>
        </w:rPr>
        <w:t>Applied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Mathematics: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MATH3021,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MATH3022,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MATH3024</w:t>
      </w:r>
      <w:r>
        <w:rPr>
          <w:rFonts w:ascii="Source Sans Pro"/>
          <w:color w:val="464646"/>
          <w:spacing w:val="-7"/>
          <w:sz w:val="18"/>
        </w:rPr>
        <w:t> </w:t>
      </w:r>
      <w:r>
        <w:rPr>
          <w:rFonts w:ascii="Source Sans Pro"/>
          <w:color w:val="464646"/>
          <w:sz w:val="18"/>
        </w:rPr>
        <w:t>/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Pure</w:t>
      </w:r>
      <w:r>
        <w:rPr>
          <w:rFonts w:ascii="Source Sans Pro"/>
          <w:color w:val="464646"/>
          <w:spacing w:val="-4"/>
          <w:sz w:val="18"/>
        </w:rPr>
        <w:t> </w:t>
      </w:r>
      <w:r>
        <w:rPr>
          <w:rFonts w:ascii="Source Sans Pro"/>
          <w:color w:val="464646"/>
          <w:sz w:val="18"/>
        </w:rPr>
        <w:t>Mathematics: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MATH3031,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MATH3032,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MATH3033</w:t>
      </w:r>
      <w:r>
        <w:rPr>
          <w:rFonts w:ascii="Source Sans Pro"/>
          <w:color w:val="464646"/>
          <w:spacing w:val="-3"/>
          <w:sz w:val="18"/>
        </w:rPr>
        <w:t> </w:t>
      </w:r>
      <w:r>
        <w:rPr>
          <w:rFonts w:ascii="Source Sans Pro"/>
          <w:color w:val="464646"/>
          <w:sz w:val="18"/>
        </w:rPr>
        <w:t>/</w:t>
      </w:r>
      <w:r>
        <w:rPr>
          <w:rFonts w:ascii="Source Sans Pro"/>
          <w:color w:val="464646"/>
          <w:spacing w:val="-6"/>
          <w:sz w:val="18"/>
        </w:rPr>
        <w:t> </w:t>
      </w:r>
      <w:r>
        <w:rPr>
          <w:rFonts w:ascii="Source Sans Pro"/>
          <w:color w:val="464646"/>
          <w:sz w:val="18"/>
        </w:rPr>
        <w:t>Statistics</w:t>
      </w:r>
      <w:r>
        <w:rPr>
          <w:rFonts w:ascii="Source Sans Pro"/>
          <w:color w:val="464646"/>
          <w:spacing w:val="-6"/>
          <w:sz w:val="18"/>
        </w:rPr>
        <w:t> </w:t>
      </w:r>
      <w:r>
        <w:rPr>
          <w:rFonts w:ascii="Source Sans Pro"/>
          <w:color w:val="464646"/>
          <w:sz w:val="18"/>
        </w:rPr>
        <w:t>and</w:t>
      </w:r>
      <w:r>
        <w:rPr>
          <w:rFonts w:ascii="Source Sans Pro"/>
          <w:color w:val="464646"/>
          <w:spacing w:val="-3"/>
          <w:sz w:val="18"/>
        </w:rPr>
        <w:t> </w:t>
      </w:r>
      <w:r>
        <w:rPr>
          <w:rFonts w:ascii="Source Sans Pro"/>
          <w:color w:val="464646"/>
          <w:sz w:val="18"/>
        </w:rPr>
        <w:t>Probability: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STAT3061,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STAT3062,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STAT3063,</w:t>
      </w:r>
      <w:r>
        <w:rPr>
          <w:rFonts w:ascii="Source Sans Pro"/>
          <w:color w:val="464646"/>
          <w:spacing w:val="-5"/>
          <w:sz w:val="18"/>
        </w:rPr>
        <w:t> </w:t>
      </w:r>
      <w:r>
        <w:rPr>
          <w:rFonts w:ascii="Source Sans Pro"/>
          <w:color w:val="464646"/>
          <w:sz w:val="18"/>
        </w:rPr>
        <w:t>STAT3064</w:t>
      </w:r>
    </w:p>
    <w:p>
      <w:pPr>
        <w:pStyle w:val="BodyText"/>
        <w:rPr>
          <w:rFonts w:ascii="Source Sans Pro"/>
        </w:rPr>
      </w:pPr>
    </w:p>
    <w:p>
      <w:pPr>
        <w:pStyle w:val="BodyText"/>
        <w:spacing w:before="10"/>
        <w:rPr>
          <w:rFonts w:ascii="Source Sans Pro"/>
          <w:sz w:val="16"/>
        </w:rPr>
      </w:pPr>
    </w:p>
    <w:p>
      <w:pPr>
        <w:pStyle w:val="Heading1"/>
        <w:spacing w:line="240" w:lineRule="auto" w:before="1"/>
      </w:pPr>
      <w:r>
        <w:rPr>
          <w:color w:val="1F3E9A"/>
        </w:rPr>
        <w:t>Cross-credit</w:t>
      </w:r>
      <w:r>
        <w:rPr>
          <w:color w:val="1F3E9A"/>
          <w:spacing w:val="-3"/>
        </w:rPr>
        <w:t> </w:t>
      </w:r>
      <w:r>
        <w:rPr>
          <w:color w:val="1F3E9A"/>
        </w:rPr>
        <w:t>Arrangements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50" w:val="left" w:leader="none"/>
          <w:tab w:pos="751" w:val="left" w:leader="none"/>
        </w:tabs>
        <w:spacing w:line="237" w:lineRule="auto" w:before="0" w:after="0"/>
        <w:ind w:left="750" w:right="697" w:hanging="358"/>
        <w:jc w:val="left"/>
        <w:rPr>
          <w:sz w:val="22"/>
        </w:rPr>
      </w:pPr>
      <w:r>
        <w:rPr>
          <w:b/>
          <w:sz w:val="22"/>
        </w:rPr>
        <w:t>BE(Hons) ALL Majors: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MATH1011 and MATH1012 </w:t>
      </w:r>
      <w:r>
        <w:rPr>
          <w:sz w:val="22"/>
        </w:rPr>
        <w:t>count towards both the BE and BSc component: students must take MATH1011 and MATH1012 and two</w:t>
      </w:r>
      <w:r>
        <w:rPr>
          <w:spacing w:val="-47"/>
          <w:sz w:val="22"/>
        </w:rPr>
        <w:t> </w:t>
      </w:r>
      <w:r>
        <w:rPr>
          <w:sz w:val="22"/>
        </w:rPr>
        <w:t>additional</w:t>
      </w:r>
      <w:r>
        <w:rPr>
          <w:spacing w:val="-1"/>
          <w:sz w:val="22"/>
        </w:rPr>
        <w:t> </w:t>
      </w:r>
      <w:r>
        <w:rPr>
          <w:sz w:val="22"/>
        </w:rPr>
        <w:t>electives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 units required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study.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</w:pPr>
      <w:r>
        <w:rPr>
          <w:color w:val="1F3E9A"/>
        </w:rPr>
        <w:t>Special</w:t>
      </w:r>
      <w:r>
        <w:rPr>
          <w:color w:val="1F3E9A"/>
          <w:spacing w:val="1"/>
        </w:rPr>
        <w:t> </w:t>
      </w:r>
      <w:r>
        <w:rPr>
          <w:color w:val="1F3E9A"/>
        </w:rPr>
        <w:t>Note</w:t>
      </w:r>
      <w:r>
        <w:rPr>
          <w:color w:val="1F3E9A"/>
          <w:spacing w:val="-4"/>
        </w:rPr>
        <w:t> </w:t>
      </w:r>
      <w:r>
        <w:rPr>
          <w:color w:val="1F3E9A"/>
        </w:rPr>
        <w:t>1</w:t>
      </w:r>
    </w:p>
    <w:p>
      <w:pPr>
        <w:pStyle w:val="Heading2"/>
      </w:pPr>
      <w:r>
        <w:rPr/>
        <w:t>BE(Hons)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majors and</w:t>
      </w:r>
      <w:r>
        <w:rPr>
          <w:spacing w:val="-2"/>
        </w:rPr>
        <w:t> </w:t>
      </w:r>
      <w:r>
        <w:rPr/>
        <w:t>BSc</w:t>
      </w:r>
      <w:r>
        <w:rPr>
          <w:spacing w:val="-2"/>
        </w:rPr>
        <w:t> </w:t>
      </w:r>
      <w:r>
        <w:rPr/>
        <w:t>Maths &amp;</w:t>
      </w:r>
      <w:r>
        <w:rPr>
          <w:spacing w:val="-3"/>
        </w:rPr>
        <w:t> </w:t>
      </w:r>
      <w:r>
        <w:rPr/>
        <w:t>Stats Major:</w:t>
      </w:r>
    </w:p>
    <w:p>
      <w:pPr>
        <w:pStyle w:val="BodyText"/>
        <w:ind w:left="392" w:right="416"/>
      </w:pPr>
      <w:r>
        <w:rPr/>
        <w:t>Students in this course who undertake GENG1010 in satisfaction of the requirements of the Bachelor of Engineering (Honours) degree are not required to</w:t>
      </w:r>
      <w:r>
        <w:rPr>
          <w:spacing w:val="1"/>
        </w:rPr>
        <w:t> </w:t>
      </w:r>
      <w:r>
        <w:rPr/>
        <w:t>complete the unit SCOM1101 to fulfill the requirements of the Maths &amp; Stats major in the Bachelor of Science.</w:t>
      </w:r>
      <w:r>
        <w:rPr>
          <w:spacing w:val="1"/>
        </w:rPr>
        <w:t> </w:t>
      </w:r>
      <w:r>
        <w:rPr/>
        <w:t>In this case, students can replace SCOM1101 with</w:t>
      </w:r>
      <w:r>
        <w:rPr>
          <w:spacing w:val="-47"/>
        </w:rPr>
        <w:t> </w:t>
      </w:r>
      <w:r>
        <w:rPr/>
        <w:t>an</w:t>
      </w:r>
      <w:r>
        <w:rPr>
          <w:spacing w:val="-2"/>
        </w:rPr>
        <w:t> </w:t>
      </w:r>
      <w:r>
        <w:rPr/>
        <w:t>elective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/>
        <w:t>or another</w:t>
      </w:r>
      <w:r>
        <w:rPr>
          <w:spacing w:val="-2"/>
        </w:rPr>
        <w:t> </w:t>
      </w:r>
      <w:r>
        <w:rPr/>
        <w:t>unit</w:t>
      </w:r>
      <w:r>
        <w:rPr>
          <w:spacing w:val="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their course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study.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>
          <w:color w:val="1F3E9A"/>
        </w:rPr>
        <w:t>Special</w:t>
      </w:r>
      <w:r>
        <w:rPr>
          <w:color w:val="1F3E9A"/>
          <w:spacing w:val="1"/>
        </w:rPr>
        <w:t> </w:t>
      </w:r>
      <w:r>
        <w:rPr>
          <w:color w:val="1F3E9A"/>
        </w:rPr>
        <w:t>Note</w:t>
      </w:r>
      <w:r>
        <w:rPr>
          <w:color w:val="1F3E9A"/>
          <w:spacing w:val="-4"/>
        </w:rPr>
        <w:t> </w:t>
      </w:r>
      <w:r>
        <w:rPr>
          <w:color w:val="1F3E9A"/>
        </w:rPr>
        <w:t>2</w:t>
      </w:r>
    </w:p>
    <w:p>
      <w:pPr>
        <w:pStyle w:val="Heading2"/>
        <w:jc w:val="both"/>
      </w:pPr>
      <w:r>
        <w:rPr/>
        <w:t>BE(Hons)</w:t>
      </w:r>
      <w:r>
        <w:rPr>
          <w:spacing w:val="-2"/>
        </w:rPr>
        <w:t> </w:t>
      </w:r>
      <w:r>
        <w:rPr/>
        <w:t>Electrical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Engineering,</w:t>
      </w:r>
      <w:r>
        <w:rPr>
          <w:spacing w:val="-4"/>
        </w:rPr>
        <w:t> </w:t>
      </w:r>
      <w:r>
        <w:rPr/>
        <w:t>Mechanical</w:t>
      </w:r>
      <w:r>
        <w:rPr>
          <w:spacing w:val="-1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Software</w:t>
      </w:r>
      <w:r>
        <w:rPr>
          <w:spacing w:val="-3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Majors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BSc</w:t>
      </w:r>
      <w:r>
        <w:rPr>
          <w:spacing w:val="-1"/>
        </w:rPr>
        <w:t> </w:t>
      </w:r>
      <w:r>
        <w:rPr/>
        <w:t>Maths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Stats</w:t>
      </w:r>
      <w:r>
        <w:rPr>
          <w:spacing w:val="-1"/>
        </w:rPr>
        <w:t> </w:t>
      </w:r>
      <w:r>
        <w:rPr/>
        <w:t>Major:</w:t>
      </w:r>
    </w:p>
    <w:p>
      <w:pPr>
        <w:pStyle w:val="BodyText"/>
        <w:ind w:left="392" w:right="424"/>
        <w:jc w:val="both"/>
      </w:pPr>
      <w:r>
        <w:rPr/>
        <w:t>Students in this course who undertake STAT2063 in satisfaction of the requirements of the Bachelor of Engineering (Honours) degree are not required to complete</w:t>
      </w:r>
      <w:r>
        <w:rPr>
          <w:spacing w:val="-47"/>
        </w:rPr>
        <w:t> </w:t>
      </w:r>
      <w:r>
        <w:rPr/>
        <w:t>the unit STAT2062 to fulfill the requirements the Maths &amp; Stats major in the Bachelor of Science. In this case, students can replace STAT2062 with an elective unit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another unit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their course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study.</w:t>
      </w:r>
    </w:p>
    <w:p>
      <w:pPr>
        <w:spacing w:after="0"/>
        <w:jc w:val="both"/>
        <w:sectPr>
          <w:pgSz w:w="16840" w:h="11910" w:orient="landscape"/>
          <w:pgMar w:header="622" w:footer="362" w:top="1360" w:bottom="560" w:left="740" w:right="7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52"/>
      </w:pPr>
      <w:r>
        <w:rPr>
          <w:color w:val="1F3E9A"/>
        </w:rPr>
        <w:t>Further Help</w:t>
      </w:r>
    </w:p>
    <w:p>
      <w:pPr>
        <w:pStyle w:val="BodyText"/>
        <w:ind w:left="392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 discuss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study plan</w:t>
      </w:r>
      <w:r>
        <w:rPr>
          <w:spacing w:val="-3"/>
        </w:rPr>
        <w:t> </w:t>
      </w:r>
      <w:r>
        <w:rPr/>
        <w:t>further,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hyperlink r:id="rId7">
        <w:r>
          <w:rPr>
            <w:color w:val="0000FF"/>
            <w:u w:val="single" w:color="0000FF"/>
          </w:rPr>
          <w:t>EMS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Student Office</w:t>
        </w:r>
      </w:hyperlink>
    </w:p>
    <w:sectPr>
      <w:pgSz w:w="16840" w:h="11910" w:orient="landscape"/>
      <w:pgMar w:header="622" w:footer="362" w:top="1360" w:bottom="5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Source Sans Pro">
    <w:altName w:val="Source Sans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566.210022pt;width:635.6pt;height:10.050pt;mso-position-horizontal-relative:page;mso-position-vertical-relative:page;z-index:-15915008" type="#_x0000_t202" id="docshape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Information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 this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study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plan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correct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19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October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2021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but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subject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from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time.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particular,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University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reserves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right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 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availability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rules.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800003pt;margin-top:30.110008pt;width:504.4pt;height:39.25pt;mso-position-horizontal-relative:page;mso-position-vertical-relative:page;z-index:-15915520" type="#_x0000_t202" id="docshape1" filled="false" stroked="false">
          <v:textbox inset="0,0,0,0">
            <w:txbxContent>
              <w:p>
                <w:pPr>
                  <w:spacing w:line="306" w:lineRule="exact" w:before="0"/>
                  <w:ind w:left="15" w:right="15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XYZ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Major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Science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(Maths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&amp;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Stats)</w:t>
                </w:r>
              </w:p>
              <w:p>
                <w:pPr>
                  <w:spacing w:before="121"/>
                  <w:ind w:left="12" w:right="15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DRAFT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Study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Plan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-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Commencing:</w:t>
                </w:r>
                <w:r>
                  <w:rPr>
                    <w:b/>
                    <w:spacing w:val="5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1,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50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19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9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9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99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59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9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7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38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93" w:lineRule="exact"/>
      <w:ind w:left="392"/>
      <w:outlineLvl w:val="1"/>
    </w:pPr>
    <w:rPr>
      <w:rFonts w:ascii="Calibri" w:hAnsi="Calibri" w:eastAsia="Calibri" w:cs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92"/>
      <w:outlineLvl w:val="2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ind w:left="12" w:right="15"/>
      <w:jc w:val="center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750" w:right="697" w:hanging="35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s://www.uwa.edu.au/students/my-course/study-areas/ems-students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59834-3A89-483C-8F3C-2851C491A214}"/>
</file>

<file path=customXml/itemProps2.xml><?xml version="1.0" encoding="utf-8"?>
<ds:datastoreItem xmlns:ds="http://schemas.openxmlformats.org/officeDocument/2006/customXml" ds:itemID="{CD018952-8B5C-48E9-A273-00436C0376C2}"/>
</file>

<file path=customXml/itemProps3.xml><?xml version="1.0" encoding="utf-8"?>
<ds:datastoreItem xmlns:ds="http://schemas.openxmlformats.org/officeDocument/2006/customXml" ds:itemID="{38A990B4-BCDE-4BB1-A9B8-39AEB37DC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dcterms:created xsi:type="dcterms:W3CDTF">2021-12-01T04:54:43Z</dcterms:created>
  <dcterms:modified xsi:type="dcterms:W3CDTF">2021-12-01T04:54:43Z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0x0101003CB8D44430D76D41A6F74E0E0A4D3FF8</vt:lpwstr>
  </property>
</Properties>
</file>